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A923B" w14:textId="6D7632CB" w:rsidR="00F1264F" w:rsidRPr="001D2350" w:rsidRDefault="00CB5825" w:rsidP="00F1264F">
      <w:pPr>
        <w:pStyle w:val="NormalWeb"/>
        <w:spacing w:before="0" w:beforeAutospacing="0" w:after="0" w:afterAutospacing="0"/>
        <w:jc w:val="center"/>
        <w:rPr>
          <w:rFonts w:ascii="Open Sans" w:eastAsia="Open Sans Regular" w:hAnsi="Open Sans" w:cs="Open Sans"/>
          <w:bCs/>
          <w:position w:val="1"/>
          <w:sz w:val="96"/>
          <w:szCs w:val="96"/>
        </w:rPr>
      </w:pPr>
      <w:bookmarkStart w:id="0" w:name="_Hlk536303256"/>
      <w:r>
        <w:rPr>
          <w:rFonts w:ascii="Open Sans" w:hAnsi="Open Sans"/>
          <w:color w:val="00B297"/>
          <w:sz w:val="72"/>
        </w:rPr>
        <w:t>A Esfera e a Coordenação</w:t>
      </w:r>
      <w:r>
        <w:rPr>
          <w:rFonts w:ascii="Open Sans" w:hAnsi="Open Sans"/>
          <w:color w:val="00B297"/>
          <w:sz w:val="48"/>
        </w:rPr>
        <w:br/>
      </w:r>
      <w:r>
        <w:rPr>
          <w:rFonts w:ascii="Open Sans" w:hAnsi="Open Sans"/>
          <w:sz w:val="48"/>
        </w:rPr>
        <w:t>Respostas ao Questionário</w:t>
      </w:r>
    </w:p>
    <w:p w14:paraId="6A878FA7" w14:textId="77777777" w:rsidR="000D5C9C" w:rsidRPr="00E21C5F" w:rsidRDefault="000D5C9C" w:rsidP="00F1264F">
      <w:pPr>
        <w:pStyle w:val="NormalWeb"/>
        <w:spacing w:before="0" w:beforeAutospacing="0" w:after="0" w:afterAutospacing="0"/>
        <w:jc w:val="center"/>
        <w:rPr>
          <w:rFonts w:ascii="Open Sans" w:hAnsi="Open Sans" w:cs="Open Sans"/>
        </w:rPr>
      </w:pPr>
    </w:p>
    <w:bookmarkEnd w:id="0"/>
    <w:tbl>
      <w:tblPr>
        <w:tblStyle w:val="TableGrid"/>
        <w:tblW w:w="9895" w:type="dxa"/>
        <w:tblInd w:w="-455" w:type="dxa"/>
        <w:tblLayout w:type="fixed"/>
        <w:tblLook w:val="04A0" w:firstRow="1" w:lastRow="0" w:firstColumn="1" w:lastColumn="0" w:noHBand="0" w:noVBand="1"/>
      </w:tblPr>
      <w:tblGrid>
        <w:gridCol w:w="535"/>
        <w:gridCol w:w="7145"/>
        <w:gridCol w:w="2215"/>
      </w:tblGrid>
      <w:tr w:rsidR="00812D86" w:rsidRPr="001D2350" w14:paraId="421D9D0E" w14:textId="77777777" w:rsidTr="001B1A31">
        <w:tc>
          <w:tcPr>
            <w:tcW w:w="535" w:type="dxa"/>
            <w:shd w:val="clear" w:color="auto" w:fill="00B297"/>
          </w:tcPr>
          <w:p w14:paraId="02A53F02" w14:textId="77777777" w:rsidR="00812D86" w:rsidRPr="00E21C5F" w:rsidRDefault="00812D86" w:rsidP="000D5C9C">
            <w:pPr>
              <w:spacing w:before="80" w:after="80"/>
              <w:rPr>
                <w:rFonts w:ascii="Open Sans" w:hAnsi="Open Sans" w:cs="Open Sans"/>
                <w:b/>
                <w:sz w:val="28"/>
                <w:szCs w:val="28"/>
              </w:rPr>
            </w:pPr>
          </w:p>
        </w:tc>
        <w:tc>
          <w:tcPr>
            <w:tcW w:w="7145" w:type="dxa"/>
            <w:shd w:val="clear" w:color="auto" w:fill="00B297"/>
          </w:tcPr>
          <w:p w14:paraId="186EEC7F" w14:textId="77777777" w:rsidR="00812D86" w:rsidRPr="001D2350" w:rsidRDefault="00812D86" w:rsidP="000D5C9C">
            <w:pPr>
              <w:spacing w:before="80" w:after="80"/>
              <w:rPr>
                <w:rFonts w:ascii="Open Sans" w:hAnsi="Open Sans" w:cs="Open Sans"/>
                <w:b/>
                <w:sz w:val="28"/>
                <w:szCs w:val="28"/>
              </w:rPr>
            </w:pPr>
            <w:r>
              <w:rPr>
                <w:rFonts w:ascii="Open Sans" w:hAnsi="Open Sans"/>
                <w:b/>
                <w:sz w:val="28"/>
              </w:rPr>
              <w:t>Resposta</w:t>
            </w:r>
          </w:p>
        </w:tc>
        <w:tc>
          <w:tcPr>
            <w:tcW w:w="2215" w:type="dxa"/>
            <w:shd w:val="clear" w:color="auto" w:fill="00B297"/>
          </w:tcPr>
          <w:p w14:paraId="5489B625" w14:textId="57BBB574" w:rsidR="00812D86" w:rsidRPr="001D2350" w:rsidRDefault="00812D86" w:rsidP="000D5C9C">
            <w:pPr>
              <w:spacing w:before="80" w:after="80"/>
              <w:rPr>
                <w:rFonts w:ascii="Open Sans" w:hAnsi="Open Sans" w:cs="Open Sans"/>
                <w:b/>
                <w:sz w:val="28"/>
                <w:szCs w:val="28"/>
              </w:rPr>
            </w:pPr>
            <w:r>
              <w:rPr>
                <w:rFonts w:ascii="Open Sans" w:hAnsi="Open Sans"/>
                <w:b/>
                <w:sz w:val="28"/>
              </w:rPr>
              <w:t>Fonte</w:t>
            </w:r>
          </w:p>
        </w:tc>
      </w:tr>
      <w:tr w:rsidR="00812D86" w:rsidRPr="001D2350" w14:paraId="0B71467B" w14:textId="77777777" w:rsidTr="001B1A31">
        <w:trPr>
          <w:cantSplit/>
        </w:trPr>
        <w:tc>
          <w:tcPr>
            <w:tcW w:w="535" w:type="dxa"/>
            <w:shd w:val="clear" w:color="auto" w:fill="00B297"/>
          </w:tcPr>
          <w:p w14:paraId="051F0658"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1</w:t>
            </w:r>
          </w:p>
        </w:tc>
        <w:tc>
          <w:tcPr>
            <w:tcW w:w="7145" w:type="dxa"/>
          </w:tcPr>
          <w:p w14:paraId="124312CC" w14:textId="79D36C1E" w:rsidR="00812D86" w:rsidRPr="001D2350" w:rsidRDefault="00F24920" w:rsidP="000D5C9C">
            <w:pPr>
              <w:spacing w:before="80" w:after="80"/>
              <w:rPr>
                <w:rFonts w:ascii="Open Sans" w:hAnsi="Open Sans" w:cs="Open Sans"/>
                <w:sz w:val="24"/>
                <w:szCs w:val="24"/>
              </w:rPr>
            </w:pPr>
            <w:r>
              <w:rPr>
                <w:rFonts w:ascii="Open Sans" w:hAnsi="Open Sans"/>
                <w:b/>
                <w:sz w:val="24"/>
              </w:rPr>
              <w:t>Verdadeiro</w:t>
            </w:r>
            <w:r>
              <w:rPr>
                <w:rFonts w:ascii="Open Sans" w:hAnsi="Open Sans"/>
                <w:sz w:val="24"/>
              </w:rPr>
              <w:t>: É também importante partilhar estas informações num formato que possa ser prontamente utilizado por outras agências humanitárias.</w:t>
            </w:r>
          </w:p>
        </w:tc>
        <w:tc>
          <w:tcPr>
            <w:tcW w:w="2215" w:type="dxa"/>
          </w:tcPr>
          <w:p w14:paraId="2F5FDB6A" w14:textId="3EE7B5DB" w:rsidR="00812D86" w:rsidRPr="001D2350" w:rsidRDefault="00812D86" w:rsidP="000D5C9C">
            <w:pPr>
              <w:spacing w:before="80" w:after="80"/>
              <w:rPr>
                <w:rFonts w:ascii="Open Sans" w:hAnsi="Open Sans" w:cs="Open Sans"/>
                <w:sz w:val="24"/>
                <w:szCs w:val="24"/>
              </w:rPr>
            </w:pPr>
            <w:r>
              <w:rPr>
                <w:rFonts w:ascii="Open Sans" w:hAnsi="Open Sans"/>
                <w:sz w:val="24"/>
              </w:rPr>
              <w:t>Compromisso 6 da Norma Humanitária Essencial (CHS), ação-chave 6.4 (página 71)</w:t>
            </w:r>
          </w:p>
        </w:tc>
      </w:tr>
      <w:tr w:rsidR="00812D86" w:rsidRPr="001F5908" w14:paraId="161DF55B" w14:textId="77777777" w:rsidTr="001B1A31">
        <w:trPr>
          <w:cantSplit/>
        </w:trPr>
        <w:tc>
          <w:tcPr>
            <w:tcW w:w="535" w:type="dxa"/>
            <w:shd w:val="clear" w:color="auto" w:fill="00B297"/>
          </w:tcPr>
          <w:p w14:paraId="13A98F6A"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2</w:t>
            </w:r>
          </w:p>
        </w:tc>
        <w:tc>
          <w:tcPr>
            <w:tcW w:w="7145" w:type="dxa"/>
            <w:shd w:val="clear" w:color="auto" w:fill="E1FFFB"/>
          </w:tcPr>
          <w:p w14:paraId="627EB396" w14:textId="59B89AD3" w:rsidR="00812D86" w:rsidRPr="001D2350" w:rsidRDefault="00F24920" w:rsidP="000D5C9C">
            <w:pPr>
              <w:autoSpaceDE w:val="0"/>
              <w:autoSpaceDN w:val="0"/>
              <w:adjustRightInd w:val="0"/>
              <w:spacing w:before="80" w:after="80"/>
              <w:rPr>
                <w:rFonts w:ascii="Open Sans" w:hAnsi="Open Sans" w:cs="Open Sans"/>
                <w:sz w:val="24"/>
                <w:szCs w:val="24"/>
              </w:rPr>
            </w:pPr>
            <w:r>
              <w:rPr>
                <w:rFonts w:ascii="Open Sans" w:hAnsi="Open Sans"/>
                <w:b/>
                <w:sz w:val="24"/>
              </w:rPr>
              <w:t xml:space="preserve">Verdadeiro: </w:t>
            </w:r>
            <w:r>
              <w:rPr>
                <w:rFonts w:ascii="Open Sans" w:hAnsi="Open Sans"/>
                <w:sz w:val="24"/>
              </w:rPr>
              <w:t>Acompanhar periodicamente as atividades e os resultados</w:t>
            </w:r>
            <w:r w:rsidR="00370520">
              <w:rPr>
                <w:rFonts w:ascii="Open Sans" w:hAnsi="Open Sans"/>
                <w:sz w:val="24"/>
              </w:rPr>
              <w:t>,</w:t>
            </w:r>
            <w:r>
              <w:rPr>
                <w:rFonts w:ascii="Open Sans" w:hAnsi="Open Sans"/>
                <w:sz w:val="24"/>
              </w:rPr>
              <w:t xml:space="preserve"> para assegurar que a promoção da higiene e os programas de WASH evoluem. </w:t>
            </w:r>
            <w:r w:rsidR="001B1A31">
              <w:rPr>
                <w:rFonts w:ascii="Open Sans" w:hAnsi="Open Sans"/>
                <w:sz w:val="24"/>
              </w:rPr>
              <w:t>Estabelecer c</w:t>
            </w:r>
            <w:r>
              <w:rPr>
                <w:rFonts w:ascii="Open Sans" w:hAnsi="Open Sans"/>
                <w:sz w:val="24"/>
              </w:rPr>
              <w:t>oordena</w:t>
            </w:r>
            <w:r w:rsidR="001B1A31">
              <w:rPr>
                <w:rFonts w:ascii="Open Sans" w:hAnsi="Open Sans"/>
                <w:sz w:val="24"/>
              </w:rPr>
              <w:t>ção</w:t>
            </w:r>
            <w:r>
              <w:rPr>
                <w:rFonts w:ascii="Open Sans" w:hAnsi="Open Sans"/>
                <w:sz w:val="24"/>
              </w:rPr>
              <w:t xml:space="preserve"> com os agentes de saúde para acompanhar a incidência de doenças relacionadas com a WASH, tais como doença diarreica, cólera, febre tif</w:t>
            </w:r>
            <w:r w:rsidR="001B1A31">
              <w:rPr>
                <w:rFonts w:ascii="Open Sans" w:hAnsi="Open Sans"/>
                <w:sz w:val="24"/>
              </w:rPr>
              <w:t>o</w:t>
            </w:r>
            <w:r>
              <w:rPr>
                <w:rFonts w:ascii="Open Sans" w:hAnsi="Open Sans"/>
                <w:sz w:val="24"/>
              </w:rPr>
              <w:t>ide, tracoma, lombrigas e esquistossomose.</w:t>
            </w:r>
          </w:p>
          <w:p w14:paraId="6AEF87DB" w14:textId="4413F20E" w:rsidR="00812D86" w:rsidRPr="00E21C5F" w:rsidRDefault="00812D86" w:rsidP="000D5C9C">
            <w:pPr>
              <w:spacing w:before="80" w:after="80"/>
              <w:rPr>
                <w:rFonts w:ascii="Open Sans" w:hAnsi="Open Sans" w:cs="Open Sans"/>
                <w:strike/>
                <w:sz w:val="24"/>
                <w:szCs w:val="24"/>
              </w:rPr>
            </w:pPr>
          </w:p>
        </w:tc>
        <w:tc>
          <w:tcPr>
            <w:tcW w:w="2215" w:type="dxa"/>
            <w:shd w:val="clear" w:color="auto" w:fill="E1FFFB"/>
          </w:tcPr>
          <w:p w14:paraId="4DECF273" w14:textId="74BDE318" w:rsidR="00812D86" w:rsidRPr="001F5908" w:rsidRDefault="00812D86" w:rsidP="000D5C9C">
            <w:pPr>
              <w:spacing w:before="80" w:after="80"/>
              <w:rPr>
                <w:rFonts w:ascii="Open Sans" w:hAnsi="Open Sans" w:cs="Open Sans"/>
                <w:sz w:val="24"/>
                <w:szCs w:val="24"/>
              </w:rPr>
            </w:pPr>
            <w:r>
              <w:rPr>
                <w:rFonts w:ascii="Open Sans" w:hAnsi="Open Sans"/>
                <w:sz w:val="24"/>
              </w:rPr>
              <w:t>Norma WASH 1. Promoção da higiene, página 96</w:t>
            </w:r>
          </w:p>
        </w:tc>
      </w:tr>
      <w:tr w:rsidR="00812D86" w:rsidRPr="001D2350" w14:paraId="6E661A60" w14:textId="77777777" w:rsidTr="001B1A31">
        <w:trPr>
          <w:cantSplit/>
        </w:trPr>
        <w:tc>
          <w:tcPr>
            <w:tcW w:w="535" w:type="dxa"/>
            <w:shd w:val="clear" w:color="auto" w:fill="00B297"/>
          </w:tcPr>
          <w:p w14:paraId="165A6ACB"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3</w:t>
            </w:r>
          </w:p>
        </w:tc>
        <w:tc>
          <w:tcPr>
            <w:tcW w:w="7145" w:type="dxa"/>
          </w:tcPr>
          <w:p w14:paraId="25BFB335" w14:textId="1B95A197"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A função do Estado afetado é coordenar a resposta humanitária das organizações de assistência. As agências humanitárias têm um papel essencial a desempenhar, apoiando a função de coordenação do Estado. Contudo, em alguns contextos, mecanismos alternativos de coordenação podem ser adequados se, por exemplo, as próprias autoridades estatais forem responsáveis por abusos e violações</w:t>
            </w:r>
            <w:r w:rsidR="001B1A31">
              <w:rPr>
                <w:rFonts w:ascii="Open Sans" w:hAnsi="Open Sans"/>
                <w:sz w:val="24"/>
              </w:rPr>
              <w:t xml:space="preserve">, </w:t>
            </w:r>
            <w:r>
              <w:rPr>
                <w:rFonts w:ascii="Open Sans" w:hAnsi="Open Sans"/>
                <w:sz w:val="24"/>
              </w:rPr>
              <w:t xml:space="preserve">se a sua assistência não for imparcial ou se o Estado estiver disposto a desempenhar um papel de coordenação mas não tiver capacidade. Nestas situações, as reuniões de coordenação podem ser realizadas separada ou conjuntamente pelas autoridades locais com a ONU ou </w:t>
            </w:r>
            <w:r w:rsidR="001B1A31">
              <w:rPr>
                <w:rFonts w:ascii="Open Sans" w:hAnsi="Open Sans"/>
                <w:sz w:val="24"/>
              </w:rPr>
              <w:t xml:space="preserve">as </w:t>
            </w:r>
            <w:proofErr w:type="spellStart"/>
            <w:r>
              <w:rPr>
                <w:rFonts w:ascii="Open Sans" w:hAnsi="Open Sans"/>
                <w:sz w:val="24"/>
              </w:rPr>
              <w:t>ONG</w:t>
            </w:r>
            <w:r w:rsidR="001B1A31">
              <w:rPr>
                <w:rFonts w:ascii="Open Sans" w:hAnsi="Open Sans"/>
                <w:sz w:val="24"/>
              </w:rPr>
              <w:t>s</w:t>
            </w:r>
            <w:proofErr w:type="spellEnd"/>
            <w:r>
              <w:rPr>
                <w:rFonts w:ascii="Open Sans" w:hAnsi="Open Sans"/>
                <w:sz w:val="24"/>
              </w:rPr>
              <w:t>. Muitas emergências humanitárias de grande escala são agora tipicamente coordenadas através da “Abordagem de Cluster”</w:t>
            </w:r>
            <w:r w:rsidR="001B1A31">
              <w:rPr>
                <w:rFonts w:ascii="Open Sans" w:hAnsi="Open Sans"/>
                <w:sz w:val="24"/>
              </w:rPr>
              <w:t xml:space="preserve"> (Abordagem de Grupo)</w:t>
            </w:r>
            <w:r>
              <w:rPr>
                <w:rFonts w:ascii="Open Sans" w:hAnsi="Open Sans"/>
                <w:sz w:val="24"/>
              </w:rPr>
              <w:t>, com grupos de agências que trabalham no mesmo setor sob uma agência líder.</w:t>
            </w:r>
          </w:p>
        </w:tc>
        <w:tc>
          <w:tcPr>
            <w:tcW w:w="2215" w:type="dxa"/>
          </w:tcPr>
          <w:p w14:paraId="3BDB7D63" w14:textId="0F4D1755" w:rsidR="00812D86" w:rsidRPr="001D2350" w:rsidRDefault="00812D86" w:rsidP="000D5C9C">
            <w:pPr>
              <w:spacing w:before="80" w:after="80"/>
              <w:rPr>
                <w:rFonts w:ascii="Open Sans" w:hAnsi="Open Sans" w:cs="Open Sans"/>
                <w:sz w:val="24"/>
                <w:szCs w:val="24"/>
              </w:rPr>
            </w:pPr>
            <w:r>
              <w:rPr>
                <w:rFonts w:ascii="Open Sans" w:hAnsi="Open Sans"/>
                <w:sz w:val="24"/>
              </w:rPr>
              <w:t>A Carta Humanitária, secção 2 (páginas 28-29)</w:t>
            </w:r>
          </w:p>
        </w:tc>
      </w:tr>
      <w:tr w:rsidR="00812D86" w:rsidRPr="001D2350" w14:paraId="29D1C0B2" w14:textId="77777777" w:rsidTr="001B1A31">
        <w:trPr>
          <w:cantSplit/>
        </w:trPr>
        <w:tc>
          <w:tcPr>
            <w:tcW w:w="535" w:type="dxa"/>
            <w:shd w:val="clear" w:color="auto" w:fill="00B297"/>
          </w:tcPr>
          <w:p w14:paraId="5E0EC5CA"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lastRenderedPageBreak/>
              <w:t>4</w:t>
            </w:r>
          </w:p>
        </w:tc>
        <w:tc>
          <w:tcPr>
            <w:tcW w:w="7145" w:type="dxa"/>
            <w:shd w:val="clear" w:color="auto" w:fill="E1FFFB"/>
          </w:tcPr>
          <w:p w14:paraId="77C6CC64" w14:textId="1B84DA58"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As agências devem poder utilizar outras informações do programa de outras agências humanitárias para informar, analisar e selecionar áreas geográficas e planos de resposta.</w:t>
            </w:r>
          </w:p>
        </w:tc>
        <w:tc>
          <w:tcPr>
            <w:tcW w:w="2215" w:type="dxa"/>
            <w:shd w:val="clear" w:color="auto" w:fill="E1FFFB"/>
          </w:tcPr>
          <w:p w14:paraId="1FE185AB" w14:textId="52B919DD"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ação-chave 6.2 da CHS (página 70)</w:t>
            </w:r>
          </w:p>
        </w:tc>
      </w:tr>
      <w:tr w:rsidR="00812D86" w:rsidRPr="001D2350" w14:paraId="501BB490" w14:textId="77777777" w:rsidTr="001B1A31">
        <w:trPr>
          <w:cantSplit/>
        </w:trPr>
        <w:tc>
          <w:tcPr>
            <w:tcW w:w="535" w:type="dxa"/>
            <w:shd w:val="clear" w:color="auto" w:fill="00B297"/>
          </w:tcPr>
          <w:p w14:paraId="6EDA42C1"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5</w:t>
            </w:r>
          </w:p>
        </w:tc>
        <w:tc>
          <w:tcPr>
            <w:tcW w:w="7145" w:type="dxa"/>
          </w:tcPr>
          <w:p w14:paraId="463FDB00" w14:textId="22222075"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O pessoal que representa as agências nas reuniões de coordenação deve ter a informação, competências e autoridade adequadas para contribuir para o planeamento e a tomada de decisões.</w:t>
            </w:r>
          </w:p>
        </w:tc>
        <w:tc>
          <w:tcPr>
            <w:tcW w:w="2215" w:type="dxa"/>
          </w:tcPr>
          <w:p w14:paraId="0AF0B9FC" w14:textId="7B55097D"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norma de responsabilidade organizacional 6.5 da CHS (página 71)</w:t>
            </w:r>
          </w:p>
        </w:tc>
      </w:tr>
      <w:tr w:rsidR="00812D86" w:rsidRPr="001D2350" w14:paraId="08EC69E6" w14:textId="77777777" w:rsidTr="001B1A31">
        <w:trPr>
          <w:cantSplit/>
        </w:trPr>
        <w:tc>
          <w:tcPr>
            <w:tcW w:w="535" w:type="dxa"/>
            <w:shd w:val="clear" w:color="auto" w:fill="00B297"/>
          </w:tcPr>
          <w:p w14:paraId="51EAE51C"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6</w:t>
            </w:r>
          </w:p>
        </w:tc>
        <w:tc>
          <w:tcPr>
            <w:tcW w:w="7145" w:type="dxa"/>
            <w:shd w:val="clear" w:color="auto" w:fill="E1FFFB"/>
          </w:tcPr>
          <w:p w14:paraId="3B64331F" w14:textId="7E946743"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As agências devem colaborar com outras para reforçar a defesa no que diz respeito às preocupações humanitárias criticamente partilhadas.</w:t>
            </w:r>
          </w:p>
        </w:tc>
        <w:tc>
          <w:tcPr>
            <w:tcW w:w="2215" w:type="dxa"/>
            <w:shd w:val="clear" w:color="auto" w:fill="E1FFFB"/>
          </w:tcPr>
          <w:p w14:paraId="308211AA" w14:textId="2AB43A00"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ação-chave 6.3 da CHS (página 71)</w:t>
            </w:r>
          </w:p>
        </w:tc>
      </w:tr>
      <w:tr w:rsidR="00812D86" w:rsidRPr="001D2350" w14:paraId="3B4101C8" w14:textId="77777777" w:rsidTr="001B1A31">
        <w:trPr>
          <w:cantSplit/>
        </w:trPr>
        <w:tc>
          <w:tcPr>
            <w:tcW w:w="535" w:type="dxa"/>
            <w:shd w:val="clear" w:color="auto" w:fill="00B297"/>
          </w:tcPr>
          <w:p w14:paraId="70A74670"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7</w:t>
            </w:r>
          </w:p>
        </w:tc>
        <w:tc>
          <w:tcPr>
            <w:tcW w:w="7145" w:type="dxa"/>
          </w:tcPr>
          <w:p w14:paraId="5C462521" w14:textId="5F21D07D" w:rsidR="00812D86" w:rsidRPr="001D2350" w:rsidRDefault="00F24920" w:rsidP="000D5C9C">
            <w:pPr>
              <w:spacing w:before="80" w:after="80"/>
              <w:rPr>
                <w:rFonts w:ascii="Open Sans" w:hAnsi="Open Sans" w:cs="Open Sans"/>
                <w:sz w:val="24"/>
                <w:szCs w:val="24"/>
              </w:rPr>
            </w:pPr>
            <w:r>
              <w:rPr>
                <w:rFonts w:ascii="Open Sans" w:hAnsi="Open Sans"/>
                <w:b/>
                <w:sz w:val="24"/>
              </w:rPr>
              <w:t>Verdadeiro:</w:t>
            </w:r>
            <w:r>
              <w:rPr>
                <w:rFonts w:ascii="Open Sans" w:hAnsi="Open Sans"/>
                <w:sz w:val="24"/>
              </w:rPr>
              <w:t xml:space="preserve"> As agências devem informar periodicamente os grupos de coordenação acerca dos progressos, relatando quaisquer atrasos importantes, escassez de agências, ou capacidade disponível.</w:t>
            </w:r>
          </w:p>
        </w:tc>
        <w:tc>
          <w:tcPr>
            <w:tcW w:w="2215" w:type="dxa"/>
          </w:tcPr>
          <w:p w14:paraId="706DB18A" w14:textId="00987998"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ações-chave 6.3 e 6.4 da CHS (página 71)</w:t>
            </w:r>
          </w:p>
        </w:tc>
      </w:tr>
      <w:tr w:rsidR="00812D86" w:rsidRPr="001D2350" w14:paraId="74871D17" w14:textId="77777777" w:rsidTr="001B1A31">
        <w:trPr>
          <w:cantSplit/>
        </w:trPr>
        <w:tc>
          <w:tcPr>
            <w:tcW w:w="535" w:type="dxa"/>
            <w:shd w:val="clear" w:color="auto" w:fill="00B297"/>
          </w:tcPr>
          <w:p w14:paraId="47EE18DE"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8</w:t>
            </w:r>
          </w:p>
        </w:tc>
        <w:tc>
          <w:tcPr>
            <w:tcW w:w="7145" w:type="dxa"/>
            <w:shd w:val="clear" w:color="auto" w:fill="E1FFFB"/>
          </w:tcPr>
          <w:p w14:paraId="143CD3DE" w14:textId="78CCA02F"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Como não é propriedade de nenhuma organização de resposta, o Manual goza de ampla aceitação p</w:t>
            </w:r>
            <w:r w:rsidR="00370520">
              <w:rPr>
                <w:rFonts w:ascii="Open Sans" w:hAnsi="Open Sans"/>
                <w:sz w:val="24"/>
              </w:rPr>
              <w:t xml:space="preserve">or parte do </w:t>
            </w:r>
            <w:r>
              <w:rPr>
                <w:rFonts w:ascii="Open Sans" w:hAnsi="Open Sans"/>
                <w:sz w:val="24"/>
              </w:rPr>
              <w:t>setor humanitário como um todo. Tornou-se um dos mais conhecidos e internacionalmente reconhecidos conjuntos de normas de resposta humanitária e é utilizado como um instrumento de comunicação e coordenação interagências. Os principais utilizadores do Manual Esfera são profissionais envolvidos no planeamento, na gestão ou na execução de uma resposta humanitária. Isto inclui pessoal e voluntários de agências humanitárias locais, nacionais</w:t>
            </w:r>
            <w:r w:rsidR="0002277F">
              <w:rPr>
                <w:rFonts w:ascii="Open Sans" w:hAnsi="Open Sans"/>
                <w:sz w:val="24"/>
              </w:rPr>
              <w:t xml:space="preserve"> </w:t>
            </w:r>
            <w:r>
              <w:rPr>
                <w:rFonts w:ascii="Open Sans" w:hAnsi="Open Sans"/>
                <w:sz w:val="24"/>
              </w:rPr>
              <w:t xml:space="preserve">e internacionais. No contexto da angariação de fundos e das propostas de projetos, as Normas Mínimas são também frequentemente referidas. Outros intervenientes, tais como o governo e as autoridades locais, os militares, ou o setor privado, são também </w:t>
            </w:r>
            <w:r w:rsidR="006604BC">
              <w:rPr>
                <w:rFonts w:ascii="Open Sans" w:hAnsi="Open Sans"/>
                <w:sz w:val="24"/>
              </w:rPr>
              <w:t>incentivados</w:t>
            </w:r>
            <w:r>
              <w:rPr>
                <w:rFonts w:ascii="Open Sans" w:hAnsi="Open Sans"/>
                <w:sz w:val="24"/>
              </w:rPr>
              <w:t xml:space="preserve"> a utilizar o Manual Esfera. Pode ser útil para orientar as suas próprias ações, mas também para os ajudar a compreender as normas utilizadas pelas agências humanitárias com as quais podem interagir.</w:t>
            </w:r>
          </w:p>
        </w:tc>
        <w:tc>
          <w:tcPr>
            <w:tcW w:w="2215" w:type="dxa"/>
            <w:shd w:val="clear" w:color="auto" w:fill="E1FFFB"/>
          </w:tcPr>
          <w:p w14:paraId="0895C3D9" w14:textId="274E2122" w:rsidR="00812D86" w:rsidRPr="001D2350" w:rsidRDefault="00812D86" w:rsidP="000D5C9C">
            <w:pPr>
              <w:spacing w:before="80" w:after="80"/>
              <w:rPr>
                <w:rFonts w:ascii="Open Sans" w:hAnsi="Open Sans" w:cs="Open Sans"/>
                <w:sz w:val="24"/>
                <w:szCs w:val="24"/>
              </w:rPr>
            </w:pPr>
            <w:r>
              <w:rPr>
                <w:rFonts w:ascii="Open Sans" w:hAnsi="Open Sans"/>
                <w:sz w:val="24"/>
              </w:rPr>
              <w:t>Esfera, página 4</w:t>
            </w:r>
          </w:p>
        </w:tc>
      </w:tr>
      <w:tr w:rsidR="00812D86" w:rsidRPr="001D2350" w14:paraId="62B44639" w14:textId="77777777" w:rsidTr="001B1A31">
        <w:trPr>
          <w:cantSplit/>
        </w:trPr>
        <w:tc>
          <w:tcPr>
            <w:tcW w:w="535" w:type="dxa"/>
            <w:shd w:val="clear" w:color="auto" w:fill="00B297"/>
          </w:tcPr>
          <w:p w14:paraId="7E740392"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lastRenderedPageBreak/>
              <w:t>9</w:t>
            </w:r>
          </w:p>
        </w:tc>
        <w:tc>
          <w:tcPr>
            <w:tcW w:w="7145" w:type="dxa"/>
          </w:tcPr>
          <w:p w14:paraId="43BA00EF" w14:textId="371E4548" w:rsidR="00812D86" w:rsidRPr="001D2350" w:rsidRDefault="00F24920" w:rsidP="000D5C9C">
            <w:pPr>
              <w:autoSpaceDE w:val="0"/>
              <w:autoSpaceDN w:val="0"/>
              <w:adjustRightInd w:val="0"/>
              <w:spacing w:before="80" w:after="80"/>
              <w:rPr>
                <w:rFonts w:ascii="Open Sans" w:hAnsi="Open Sans" w:cs="Open Sans"/>
                <w:strike/>
                <w:sz w:val="24"/>
                <w:szCs w:val="24"/>
              </w:rPr>
            </w:pPr>
            <w:r>
              <w:rPr>
                <w:rFonts w:ascii="Open Sans" w:hAnsi="Open Sans"/>
                <w:b/>
                <w:sz w:val="24"/>
              </w:rPr>
              <w:t>Falso:</w:t>
            </w:r>
            <w:r>
              <w:rPr>
                <w:rFonts w:ascii="Open Sans" w:hAnsi="Open Sans"/>
                <w:sz w:val="24"/>
              </w:rPr>
              <w:t xml:space="preserve"> </w:t>
            </w:r>
            <w:r w:rsidR="006604BC">
              <w:rPr>
                <w:rFonts w:ascii="Open Sans" w:hAnsi="Open Sans"/>
                <w:sz w:val="24"/>
              </w:rPr>
              <w:t>Estabelecer c</w:t>
            </w:r>
            <w:r>
              <w:rPr>
                <w:rFonts w:ascii="Open Sans" w:hAnsi="Open Sans"/>
                <w:sz w:val="24"/>
              </w:rPr>
              <w:t>oorden</w:t>
            </w:r>
            <w:r w:rsidR="006604BC">
              <w:rPr>
                <w:rFonts w:ascii="Open Sans" w:hAnsi="Open Sans"/>
                <w:sz w:val="24"/>
              </w:rPr>
              <w:t>ação</w:t>
            </w:r>
            <w:r>
              <w:rPr>
                <w:rFonts w:ascii="Open Sans" w:hAnsi="Open Sans"/>
                <w:sz w:val="24"/>
              </w:rPr>
              <w:t xml:space="preserve"> com parceiros </w:t>
            </w:r>
            <w:r w:rsidR="006604BC">
              <w:rPr>
                <w:rFonts w:ascii="Open Sans" w:hAnsi="Open Sans"/>
                <w:sz w:val="24"/>
              </w:rPr>
              <w:t xml:space="preserve">que atuam na área </w:t>
            </w:r>
            <w:r>
              <w:rPr>
                <w:rFonts w:ascii="Open Sans" w:hAnsi="Open Sans"/>
                <w:sz w:val="24"/>
              </w:rPr>
              <w:t>d</w:t>
            </w:r>
            <w:r w:rsidR="006604BC">
              <w:rPr>
                <w:rFonts w:ascii="Open Sans" w:hAnsi="Open Sans"/>
                <w:sz w:val="24"/>
              </w:rPr>
              <w:t>a</w:t>
            </w:r>
            <w:r>
              <w:rPr>
                <w:rFonts w:ascii="Open Sans" w:hAnsi="Open Sans"/>
                <w:sz w:val="24"/>
              </w:rPr>
              <w:t xml:space="preserve"> proteção infantil e </w:t>
            </w:r>
            <w:r w:rsidR="006604BC">
              <w:rPr>
                <w:rFonts w:ascii="Open Sans" w:hAnsi="Open Sans"/>
                <w:sz w:val="24"/>
              </w:rPr>
              <w:t>da</w:t>
            </w:r>
            <w:r>
              <w:rPr>
                <w:rFonts w:ascii="Open Sans" w:hAnsi="Open Sans"/>
                <w:sz w:val="24"/>
              </w:rPr>
              <w:t xml:space="preserve"> violência sexual e de género para estabelecer vias de encaminhamento e protocolos de partilha de informação. Formar pessoal </w:t>
            </w:r>
            <w:r w:rsidR="006604BC">
              <w:rPr>
                <w:rFonts w:ascii="Open Sans" w:hAnsi="Open Sans"/>
                <w:sz w:val="24"/>
              </w:rPr>
              <w:t>na área d</w:t>
            </w:r>
            <w:r>
              <w:rPr>
                <w:rFonts w:ascii="Open Sans" w:hAnsi="Open Sans"/>
                <w:sz w:val="24"/>
              </w:rPr>
              <w:t xml:space="preserve">e nutrição </w:t>
            </w:r>
            <w:r w:rsidR="006604BC">
              <w:rPr>
                <w:rFonts w:ascii="Open Sans" w:hAnsi="Open Sans"/>
                <w:sz w:val="24"/>
              </w:rPr>
              <w:t>relativamente à forma de providenciar</w:t>
            </w:r>
            <w:r>
              <w:rPr>
                <w:rFonts w:ascii="Open Sans" w:hAnsi="Open Sans"/>
                <w:sz w:val="24"/>
              </w:rPr>
              <w:t xml:space="preserve"> consultas de apoio e confidenciais</w:t>
            </w:r>
            <w:r w:rsidR="00370520">
              <w:rPr>
                <w:rFonts w:ascii="Open Sans" w:hAnsi="Open Sans"/>
                <w:sz w:val="24"/>
              </w:rPr>
              <w:t>,</w:t>
            </w:r>
            <w:r>
              <w:rPr>
                <w:rFonts w:ascii="Open Sans" w:hAnsi="Open Sans"/>
                <w:sz w:val="24"/>
              </w:rPr>
              <w:t xml:space="preserve"> para cuidadores de crianças expostas a violência física, sexual ou emocional, exploração ou abuso.</w:t>
            </w:r>
          </w:p>
        </w:tc>
        <w:tc>
          <w:tcPr>
            <w:tcW w:w="2215" w:type="dxa"/>
          </w:tcPr>
          <w:p w14:paraId="334B16BE" w14:textId="560476ED" w:rsidR="00812D86" w:rsidRPr="001D2350" w:rsidRDefault="00812D86" w:rsidP="000D5C9C">
            <w:pPr>
              <w:autoSpaceDE w:val="0"/>
              <w:autoSpaceDN w:val="0"/>
              <w:adjustRightInd w:val="0"/>
              <w:spacing w:before="80" w:after="80"/>
              <w:rPr>
                <w:rFonts w:ascii="Open Sans" w:hAnsi="Open Sans" w:cs="Open Sans"/>
                <w:sz w:val="24"/>
                <w:szCs w:val="24"/>
              </w:rPr>
            </w:pPr>
            <w:r>
              <w:rPr>
                <w:rFonts w:ascii="Open Sans" w:hAnsi="Open Sans"/>
                <w:sz w:val="24"/>
              </w:rPr>
              <w:t>Ligação com outros intervenientes</w:t>
            </w:r>
            <w:r w:rsidR="006604BC">
              <w:rPr>
                <w:rFonts w:ascii="Open Sans" w:hAnsi="Open Sans"/>
                <w:sz w:val="24"/>
              </w:rPr>
              <w:t xml:space="preserve"> da área da </w:t>
            </w:r>
            <w:r>
              <w:rPr>
                <w:rFonts w:ascii="Open Sans" w:hAnsi="Open Sans"/>
                <w:sz w:val="24"/>
              </w:rPr>
              <w:t xml:space="preserve">gestão alimentar e nutricional da </w:t>
            </w:r>
            <w:r w:rsidR="006604BC">
              <w:rPr>
                <w:rFonts w:ascii="Open Sans" w:hAnsi="Open Sans"/>
                <w:sz w:val="24"/>
              </w:rPr>
              <w:t>sub</w:t>
            </w:r>
            <w:r>
              <w:rPr>
                <w:rFonts w:ascii="Open Sans" w:hAnsi="Open Sans"/>
                <w:sz w:val="24"/>
              </w:rPr>
              <w:t xml:space="preserve">nutrição norma 2.2: </w:t>
            </w:r>
            <w:r w:rsidR="006604BC">
              <w:rPr>
                <w:rFonts w:ascii="Open Sans" w:hAnsi="Open Sans"/>
                <w:sz w:val="24"/>
              </w:rPr>
              <w:t>Subn</w:t>
            </w:r>
            <w:r>
              <w:rPr>
                <w:rFonts w:ascii="Open Sans" w:hAnsi="Open Sans"/>
                <w:sz w:val="24"/>
              </w:rPr>
              <w:t>utrição aguda grave (página 181)</w:t>
            </w:r>
          </w:p>
        </w:tc>
      </w:tr>
      <w:tr w:rsidR="00812D86" w:rsidRPr="001D2350" w14:paraId="142FC0A2" w14:textId="77777777" w:rsidTr="001B1A31">
        <w:trPr>
          <w:cantSplit/>
        </w:trPr>
        <w:tc>
          <w:tcPr>
            <w:tcW w:w="535" w:type="dxa"/>
            <w:shd w:val="clear" w:color="auto" w:fill="00B297"/>
          </w:tcPr>
          <w:p w14:paraId="38F6D252"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10</w:t>
            </w:r>
          </w:p>
        </w:tc>
        <w:tc>
          <w:tcPr>
            <w:tcW w:w="7145" w:type="dxa"/>
            <w:shd w:val="clear" w:color="auto" w:fill="E1FFFB"/>
          </w:tcPr>
          <w:p w14:paraId="6FEF76EB" w14:textId="47AEC2CC" w:rsidR="00812D86" w:rsidRPr="001D2350" w:rsidRDefault="00F24920" w:rsidP="000D5C9C">
            <w:pPr>
              <w:spacing w:before="80" w:after="80"/>
              <w:rPr>
                <w:rFonts w:ascii="Open Sans" w:hAnsi="Open Sans" w:cs="Open Sans"/>
                <w:sz w:val="24"/>
                <w:szCs w:val="24"/>
              </w:rPr>
            </w:pPr>
            <w:r>
              <w:rPr>
                <w:rFonts w:ascii="Open Sans" w:hAnsi="Open Sans"/>
                <w:b/>
                <w:sz w:val="24"/>
              </w:rPr>
              <w:t>Verdadeiro:</w:t>
            </w:r>
            <w:r>
              <w:rPr>
                <w:rFonts w:ascii="Open Sans" w:hAnsi="Open Sans"/>
                <w:sz w:val="24"/>
              </w:rPr>
              <w:t xml:space="preserve"> As reuniões que </w:t>
            </w:r>
            <w:r w:rsidR="006604BC">
              <w:rPr>
                <w:rFonts w:ascii="Open Sans" w:hAnsi="Open Sans"/>
                <w:sz w:val="24"/>
              </w:rPr>
              <w:t>agrupam</w:t>
            </w:r>
            <w:r>
              <w:rPr>
                <w:rFonts w:ascii="Open Sans" w:hAnsi="Open Sans"/>
                <w:sz w:val="24"/>
              </w:rPr>
              <w:t xml:space="preserve"> diferentes setores podem ainda permitir que as necessidades das pessoas sejam abordadas como um todo, e não isoladamente (por exemplo, o abrigo, a água, o saneamento, a higiene e as necessidades psicossociais estão inter-relacionados). As informações pertinentes devem ser partilhadas entre diferentes mecanismos de coordenação para assegurar uma coordenação integrada em todos os programas.</w:t>
            </w:r>
          </w:p>
        </w:tc>
        <w:tc>
          <w:tcPr>
            <w:tcW w:w="2215" w:type="dxa"/>
            <w:shd w:val="clear" w:color="auto" w:fill="E1FFFB"/>
          </w:tcPr>
          <w:p w14:paraId="56FBC7E0" w14:textId="2BC86B9D"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ações-chave 6.3 e 6.4 da CHS (página 71)</w:t>
            </w:r>
          </w:p>
        </w:tc>
      </w:tr>
      <w:tr w:rsidR="00812D86" w:rsidRPr="001D2350" w14:paraId="37405DEB" w14:textId="77777777" w:rsidTr="001B1A31">
        <w:trPr>
          <w:cantSplit/>
        </w:trPr>
        <w:tc>
          <w:tcPr>
            <w:tcW w:w="535" w:type="dxa"/>
            <w:shd w:val="clear" w:color="auto" w:fill="00B297"/>
          </w:tcPr>
          <w:p w14:paraId="06FDBBAE"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11</w:t>
            </w:r>
          </w:p>
        </w:tc>
        <w:tc>
          <w:tcPr>
            <w:tcW w:w="7145" w:type="dxa"/>
          </w:tcPr>
          <w:p w14:paraId="4F15B7DC" w14:textId="0CC7EDCF"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A Reforma Humanitária de 2005 estabeleceu a Abordagem de </w:t>
            </w:r>
            <w:r w:rsidR="006604BC">
              <w:rPr>
                <w:rFonts w:ascii="Open Sans" w:hAnsi="Open Sans"/>
                <w:sz w:val="24"/>
              </w:rPr>
              <w:t>“</w:t>
            </w:r>
            <w:r>
              <w:rPr>
                <w:rFonts w:ascii="Open Sans" w:hAnsi="Open Sans"/>
                <w:sz w:val="24"/>
              </w:rPr>
              <w:t>Cluster</w:t>
            </w:r>
            <w:r w:rsidR="006604BC">
              <w:rPr>
                <w:rFonts w:ascii="Open Sans" w:hAnsi="Open Sans"/>
                <w:sz w:val="24"/>
              </w:rPr>
              <w:t>” (Abordagem de Grupo)</w:t>
            </w:r>
            <w:r>
              <w:rPr>
                <w:rFonts w:ascii="Open Sans" w:hAnsi="Open Sans"/>
                <w:sz w:val="24"/>
              </w:rPr>
              <w:t xml:space="preserve">, que é a principal forma de coordenação dos agentes humanitários. Os </w:t>
            </w:r>
            <w:r w:rsidRPr="00EE2C57">
              <w:rPr>
                <w:rFonts w:ascii="Open Sans" w:hAnsi="Open Sans"/>
                <w:i/>
                <w:iCs/>
                <w:sz w:val="24"/>
              </w:rPr>
              <w:t>clusters</w:t>
            </w:r>
            <w:r>
              <w:rPr>
                <w:rFonts w:ascii="Open Sans" w:hAnsi="Open Sans"/>
                <w:sz w:val="24"/>
              </w:rPr>
              <w:t xml:space="preserve"> são grupos de organizações humanitárias (ONU e não ONU) que trabalham nos principais setores da ação humanitária, por exemplo, abrigo e saúde</w:t>
            </w:r>
            <w:r w:rsidR="00370520">
              <w:rPr>
                <w:rFonts w:ascii="Open Sans" w:hAnsi="Open Sans"/>
                <w:sz w:val="24"/>
              </w:rPr>
              <w:t>,</w:t>
            </w:r>
            <w:r w:rsidR="006604BC">
              <w:rPr>
                <w:rFonts w:ascii="Open Sans" w:hAnsi="Open Sans"/>
                <w:sz w:val="24"/>
              </w:rPr>
              <w:t xml:space="preserve"> e</w:t>
            </w:r>
            <w:r>
              <w:rPr>
                <w:rFonts w:ascii="Open Sans" w:hAnsi="Open Sans"/>
                <w:sz w:val="24"/>
              </w:rPr>
              <w:t xml:space="preserve"> que coordenam </w:t>
            </w:r>
            <w:r w:rsidR="006604BC">
              <w:rPr>
                <w:rFonts w:ascii="Open Sans" w:hAnsi="Open Sans"/>
                <w:sz w:val="24"/>
              </w:rPr>
              <w:t xml:space="preserve">as operações </w:t>
            </w:r>
            <w:r>
              <w:rPr>
                <w:rFonts w:ascii="Open Sans" w:hAnsi="Open Sans"/>
                <w:sz w:val="24"/>
              </w:rPr>
              <w:t xml:space="preserve">de modo a evitar lacunas e duplicação na assistência às comunidades afetadas. São criados quando existem claras necessidades humanitárias </w:t>
            </w:r>
            <w:r w:rsidR="006604BC">
              <w:rPr>
                <w:rFonts w:ascii="Open Sans" w:hAnsi="Open Sans"/>
                <w:sz w:val="24"/>
              </w:rPr>
              <w:t xml:space="preserve">ou numerosos intervenientes nos setores </w:t>
            </w:r>
            <w:r>
              <w:rPr>
                <w:rFonts w:ascii="Open Sans" w:hAnsi="Open Sans"/>
                <w:sz w:val="24"/>
              </w:rPr>
              <w:t xml:space="preserve">e quando as autoridades nacionais necessitam de apoio de coordenação. Os </w:t>
            </w:r>
            <w:r w:rsidRPr="00EE2C57">
              <w:rPr>
                <w:rFonts w:ascii="Open Sans" w:hAnsi="Open Sans"/>
                <w:i/>
                <w:iCs/>
                <w:sz w:val="24"/>
              </w:rPr>
              <w:t>clusters</w:t>
            </w:r>
            <w:r>
              <w:rPr>
                <w:rFonts w:ascii="Open Sans" w:hAnsi="Open Sans"/>
                <w:sz w:val="24"/>
              </w:rPr>
              <w:t xml:space="preserve"> proporcionam um ponto de contacto claro e são responsáveis por uma resposta humanitária adequada e apropriada. Os </w:t>
            </w:r>
            <w:r w:rsidRPr="00EE2C57">
              <w:rPr>
                <w:rFonts w:ascii="Open Sans" w:hAnsi="Open Sans"/>
                <w:i/>
                <w:iCs/>
                <w:sz w:val="24"/>
              </w:rPr>
              <w:t>clusters</w:t>
            </w:r>
            <w:r>
              <w:rPr>
                <w:rFonts w:ascii="Open Sans" w:hAnsi="Open Sans"/>
                <w:sz w:val="24"/>
              </w:rPr>
              <w:t xml:space="preserve"> promovem parcerias entre os agentes humanitários internacionais, </w:t>
            </w:r>
            <w:r w:rsidR="00EE2C57">
              <w:rPr>
                <w:rFonts w:ascii="Open Sans" w:hAnsi="Open Sans"/>
                <w:sz w:val="24"/>
              </w:rPr>
              <w:t xml:space="preserve">as </w:t>
            </w:r>
            <w:r>
              <w:rPr>
                <w:rFonts w:ascii="Open Sans" w:hAnsi="Open Sans"/>
                <w:sz w:val="24"/>
              </w:rPr>
              <w:t>autoridades nacionais e locais e a sociedade civil.</w:t>
            </w:r>
          </w:p>
        </w:tc>
        <w:tc>
          <w:tcPr>
            <w:tcW w:w="2215" w:type="dxa"/>
          </w:tcPr>
          <w:p w14:paraId="714D22E3" w14:textId="0C54CD69" w:rsidR="00812D86" w:rsidRPr="001D2350" w:rsidRDefault="00812D86" w:rsidP="000D5C9C">
            <w:pPr>
              <w:spacing w:before="80" w:after="80"/>
              <w:rPr>
                <w:rFonts w:ascii="Open Sans" w:hAnsi="Open Sans" w:cs="Open Sans"/>
                <w:sz w:val="24"/>
                <w:szCs w:val="24"/>
              </w:rPr>
            </w:pPr>
            <w:r>
              <w:rPr>
                <w:rFonts w:ascii="Open Sans" w:hAnsi="Open Sans"/>
                <w:sz w:val="24"/>
              </w:rPr>
              <w:t xml:space="preserve">e-learning: </w:t>
            </w:r>
            <w:hyperlink r:id="rId9" w:history="1">
              <w:r>
                <w:rPr>
                  <w:rStyle w:val="Hyperlink"/>
                  <w:rFonts w:ascii="Open Sans" w:hAnsi="Open Sans"/>
                  <w:color w:val="auto"/>
                  <w:sz w:val="24"/>
                </w:rPr>
                <w:t>www.buildingabetterResponse.org</w:t>
              </w:r>
            </w:hyperlink>
            <w:r>
              <w:rPr>
                <w:rFonts w:ascii="Open Sans" w:hAnsi="Open Sans"/>
                <w:sz w:val="24"/>
              </w:rPr>
              <w:t>, que inclui módulos-chave sobre a arquitetura humanitária e as suas implicações para os agentes de execução</w:t>
            </w:r>
          </w:p>
        </w:tc>
      </w:tr>
      <w:tr w:rsidR="00812D86" w:rsidRPr="001D2350" w14:paraId="3F55679E" w14:textId="77777777" w:rsidTr="001B1A31">
        <w:trPr>
          <w:cantSplit/>
        </w:trPr>
        <w:tc>
          <w:tcPr>
            <w:tcW w:w="535" w:type="dxa"/>
            <w:shd w:val="clear" w:color="auto" w:fill="00B297"/>
          </w:tcPr>
          <w:p w14:paraId="3B5FD929"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lastRenderedPageBreak/>
              <w:t>12</w:t>
            </w:r>
          </w:p>
        </w:tc>
        <w:tc>
          <w:tcPr>
            <w:tcW w:w="7145" w:type="dxa"/>
            <w:shd w:val="clear" w:color="auto" w:fill="E1FFFB"/>
          </w:tcPr>
          <w:p w14:paraId="671ADD19" w14:textId="63F3B682" w:rsidR="00812D86" w:rsidRPr="001D2350" w:rsidRDefault="00F24920" w:rsidP="000D5C9C">
            <w:pPr>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Os militares trazem conhecimentos e recursos específicos, incluindo segurança, logística, transporte e comunicações. Contudo, as suas atividades podem esbater a importante distinção entre objetivos humanitários e agendas militares ou políticas e criar riscos de segurança futuros. Qualquer associação com as forças militares deve estar ao serviço de</w:t>
            </w:r>
            <w:r w:rsidR="00EE2C57">
              <w:rPr>
                <w:rFonts w:ascii="Open Sans" w:hAnsi="Open Sans"/>
                <w:sz w:val="24"/>
              </w:rPr>
              <w:t xml:space="preserve"> agências humanitárias </w:t>
            </w:r>
            <w:r>
              <w:rPr>
                <w:rFonts w:ascii="Open Sans" w:hAnsi="Open Sans"/>
                <w:sz w:val="24"/>
              </w:rPr>
              <w:t>e</w:t>
            </w:r>
            <w:r w:rsidR="00EE2C57">
              <w:rPr>
                <w:rFonts w:ascii="Open Sans" w:hAnsi="Open Sans"/>
                <w:sz w:val="24"/>
              </w:rPr>
              <w:t xml:space="preserve"> ser por elas </w:t>
            </w:r>
            <w:r>
              <w:rPr>
                <w:rFonts w:ascii="Open Sans" w:hAnsi="Open Sans"/>
                <w:sz w:val="24"/>
              </w:rPr>
              <w:t>liderada, de acordo com orientações aprovadas. Algumas agências manterão um diálogo mínimo para assegurar a eficiência operacional (por exemplo, partilha de informações básicas do programa) enquanto outras poderão estabelecer laços mais fortes (por exemplo, utilização de meios militares). Em todos os casos, as agências humanitárias devem permanecer claramente distintas das militares para evitar qualquer associação real ou aparente com uma agenda política ou militar que possa comprometer a independência, credibilidade, segurança e acesso às populações afetadas.</w:t>
            </w:r>
          </w:p>
        </w:tc>
        <w:tc>
          <w:tcPr>
            <w:tcW w:w="2215" w:type="dxa"/>
            <w:shd w:val="clear" w:color="auto" w:fill="E1FFFB"/>
          </w:tcPr>
          <w:p w14:paraId="15DC4BD2" w14:textId="63D85F47"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ação-chave 6.1 da CHS (página 70)</w:t>
            </w:r>
          </w:p>
        </w:tc>
      </w:tr>
      <w:tr w:rsidR="00812D86" w:rsidRPr="001D2350" w14:paraId="2E48C277" w14:textId="77777777" w:rsidTr="001B1A31">
        <w:trPr>
          <w:cantSplit/>
        </w:trPr>
        <w:tc>
          <w:tcPr>
            <w:tcW w:w="535" w:type="dxa"/>
            <w:shd w:val="clear" w:color="auto" w:fill="00B297"/>
          </w:tcPr>
          <w:p w14:paraId="4A74F84E" w14:textId="77777777" w:rsidR="00812D86" w:rsidRPr="001D2350" w:rsidRDefault="00812D86" w:rsidP="000D5C9C">
            <w:pPr>
              <w:spacing w:before="80" w:after="80"/>
              <w:rPr>
                <w:rFonts w:ascii="Open Sans" w:hAnsi="Open Sans" w:cs="Open Sans"/>
                <w:b/>
                <w:sz w:val="24"/>
                <w:szCs w:val="24"/>
              </w:rPr>
            </w:pPr>
            <w:r>
              <w:rPr>
                <w:rFonts w:ascii="Open Sans" w:hAnsi="Open Sans"/>
                <w:b/>
                <w:sz w:val="24"/>
              </w:rPr>
              <w:t>13</w:t>
            </w:r>
          </w:p>
        </w:tc>
        <w:tc>
          <w:tcPr>
            <w:tcW w:w="7145" w:type="dxa"/>
          </w:tcPr>
          <w:p w14:paraId="0466B55C" w14:textId="44FEF8C8" w:rsidR="00812D86" w:rsidRPr="001D2350" w:rsidRDefault="00F24920" w:rsidP="000D5C9C">
            <w:pPr>
              <w:spacing w:before="80" w:after="80"/>
              <w:rPr>
                <w:rFonts w:ascii="Open Sans" w:hAnsi="Open Sans" w:cs="Open Sans"/>
                <w:sz w:val="24"/>
                <w:szCs w:val="24"/>
              </w:rPr>
            </w:pPr>
            <w:r>
              <w:rPr>
                <w:rFonts w:ascii="Open Sans" w:hAnsi="Open Sans"/>
                <w:b/>
                <w:sz w:val="24"/>
              </w:rPr>
              <w:t>Verdadeiro:</w:t>
            </w:r>
            <w:r>
              <w:rPr>
                <w:rFonts w:ascii="Open Sans" w:hAnsi="Open Sans"/>
                <w:sz w:val="24"/>
              </w:rPr>
              <w:t xml:space="preserve"> O setor privado pode trazer eficiências comerciais, conhecimentos complementares e recursos às agências humanitárias. A partilha de informações é necessária para evitar duplicações e promover boas práticas humanitárias. As parcerias entre o setor privado e humanitário devem ser estritamente </w:t>
            </w:r>
            <w:r w:rsidR="00370520">
              <w:rPr>
                <w:rFonts w:ascii="Open Sans" w:hAnsi="Open Sans"/>
                <w:sz w:val="24"/>
              </w:rPr>
              <w:t xml:space="preserve">estabelecidas </w:t>
            </w:r>
            <w:r>
              <w:rPr>
                <w:rFonts w:ascii="Open Sans" w:hAnsi="Open Sans"/>
                <w:sz w:val="24"/>
              </w:rPr>
              <w:t>em benefício de objetivos humanitários.</w:t>
            </w:r>
          </w:p>
        </w:tc>
        <w:tc>
          <w:tcPr>
            <w:tcW w:w="2215" w:type="dxa"/>
          </w:tcPr>
          <w:p w14:paraId="3721FF37" w14:textId="00BE98E8" w:rsidR="00812D86" w:rsidRPr="001D2350" w:rsidRDefault="00812D86" w:rsidP="000D5C9C">
            <w:pPr>
              <w:spacing w:before="80" w:after="80"/>
              <w:rPr>
                <w:rFonts w:ascii="Open Sans" w:hAnsi="Open Sans" w:cs="Open Sans"/>
                <w:sz w:val="24"/>
                <w:szCs w:val="24"/>
              </w:rPr>
            </w:pPr>
            <w:r>
              <w:rPr>
                <w:rFonts w:ascii="Open Sans" w:hAnsi="Open Sans"/>
                <w:sz w:val="24"/>
              </w:rPr>
              <w:t>Compromisso 6 da CHS, ação-chave 6.1 da CHS (página 70)</w:t>
            </w:r>
          </w:p>
        </w:tc>
      </w:tr>
      <w:tr w:rsidR="00812D86" w:rsidRPr="001D2350" w14:paraId="455DC9E0" w14:textId="77777777" w:rsidTr="001B1A31">
        <w:trPr>
          <w:cantSplit/>
        </w:trPr>
        <w:tc>
          <w:tcPr>
            <w:tcW w:w="535" w:type="dxa"/>
            <w:shd w:val="clear" w:color="auto" w:fill="00B297"/>
          </w:tcPr>
          <w:p w14:paraId="38590EC5" w14:textId="4CE6895D" w:rsidR="00812D86" w:rsidRPr="001D2350" w:rsidRDefault="00812D86" w:rsidP="000D5C9C">
            <w:pPr>
              <w:spacing w:before="80" w:after="80"/>
              <w:rPr>
                <w:rFonts w:ascii="Open Sans" w:hAnsi="Open Sans" w:cs="Open Sans"/>
                <w:b/>
                <w:sz w:val="24"/>
                <w:szCs w:val="24"/>
              </w:rPr>
            </w:pPr>
            <w:r>
              <w:rPr>
                <w:rFonts w:ascii="Open Sans" w:hAnsi="Open Sans"/>
                <w:b/>
                <w:sz w:val="24"/>
              </w:rPr>
              <w:t>14</w:t>
            </w:r>
          </w:p>
        </w:tc>
        <w:tc>
          <w:tcPr>
            <w:tcW w:w="7145" w:type="dxa"/>
            <w:shd w:val="clear" w:color="auto" w:fill="E1FFFB"/>
          </w:tcPr>
          <w:p w14:paraId="4B98769B" w14:textId="70A2E3C3" w:rsidR="00812D86" w:rsidRPr="001D2350" w:rsidRDefault="00F24920" w:rsidP="000D5C9C">
            <w:pPr>
              <w:autoSpaceDE w:val="0"/>
              <w:autoSpaceDN w:val="0"/>
              <w:adjustRightInd w:val="0"/>
              <w:spacing w:before="80" w:after="80"/>
              <w:rPr>
                <w:rFonts w:ascii="Open Sans" w:hAnsi="Open Sans" w:cs="Open Sans"/>
                <w:sz w:val="24"/>
                <w:szCs w:val="24"/>
              </w:rPr>
            </w:pPr>
            <w:r>
              <w:rPr>
                <w:rFonts w:ascii="Open Sans" w:hAnsi="Open Sans"/>
                <w:b/>
                <w:sz w:val="24"/>
              </w:rPr>
              <w:t>Falso:</w:t>
            </w:r>
            <w:r>
              <w:rPr>
                <w:rFonts w:ascii="Open Sans" w:hAnsi="Open Sans"/>
                <w:sz w:val="24"/>
              </w:rPr>
              <w:t xml:space="preserve"> A coordenação deve ocorrer a todos os níveis de cuidados de saúde</w:t>
            </w:r>
            <w:r w:rsidR="00EE2C57">
              <w:rPr>
                <w:rFonts w:ascii="Open Sans" w:hAnsi="Open Sans"/>
                <w:sz w:val="24"/>
              </w:rPr>
              <w:t xml:space="preserve"> e entre os mesmos</w:t>
            </w:r>
            <w:r>
              <w:rPr>
                <w:rFonts w:ascii="Open Sans" w:hAnsi="Open Sans"/>
                <w:sz w:val="24"/>
              </w:rPr>
              <w:t>, desde o nível nacional à comunidade</w:t>
            </w:r>
            <w:r w:rsidR="00EE2C57">
              <w:rPr>
                <w:rFonts w:ascii="Open Sans" w:hAnsi="Open Sans"/>
                <w:sz w:val="24"/>
              </w:rPr>
              <w:t xml:space="preserve">, bem como </w:t>
            </w:r>
            <w:r>
              <w:rPr>
                <w:rFonts w:ascii="Open Sans" w:hAnsi="Open Sans"/>
                <w:sz w:val="24"/>
              </w:rPr>
              <w:t>com outros setores</w:t>
            </w:r>
            <w:r w:rsidR="00EE2C57">
              <w:rPr>
                <w:rFonts w:ascii="Open Sans" w:hAnsi="Open Sans"/>
                <w:sz w:val="24"/>
              </w:rPr>
              <w:t>,</w:t>
            </w:r>
            <w:r>
              <w:rPr>
                <w:rFonts w:ascii="Open Sans" w:hAnsi="Open Sans"/>
                <w:sz w:val="24"/>
              </w:rPr>
              <w:t xml:space="preserve"> tais como a WASH, a nutrição e a educação, bem como com grupos de trabalho técnicos </w:t>
            </w:r>
            <w:r w:rsidR="00370520">
              <w:rPr>
                <w:rFonts w:ascii="Open Sans" w:hAnsi="Open Sans"/>
                <w:sz w:val="24"/>
              </w:rPr>
              <w:t>intersectoriais,</w:t>
            </w:r>
            <w:r w:rsidR="00EE2C57">
              <w:rPr>
                <w:rFonts w:ascii="Open Sans" w:hAnsi="Open Sans"/>
                <w:sz w:val="24"/>
              </w:rPr>
              <w:t xml:space="preserve"> como os da s</w:t>
            </w:r>
            <w:r>
              <w:rPr>
                <w:rFonts w:ascii="Open Sans" w:hAnsi="Open Sans"/>
                <w:sz w:val="24"/>
              </w:rPr>
              <w:t xml:space="preserve">aúde mental e </w:t>
            </w:r>
            <w:r w:rsidR="00370520">
              <w:rPr>
                <w:rFonts w:ascii="Open Sans" w:hAnsi="Open Sans"/>
                <w:sz w:val="24"/>
              </w:rPr>
              <w:t xml:space="preserve">do </w:t>
            </w:r>
            <w:r>
              <w:rPr>
                <w:rFonts w:ascii="Open Sans" w:hAnsi="Open Sans"/>
                <w:sz w:val="24"/>
              </w:rPr>
              <w:t xml:space="preserve">apoio psicossocial, </w:t>
            </w:r>
            <w:r w:rsidR="00EE2C57">
              <w:rPr>
                <w:rFonts w:ascii="Open Sans" w:hAnsi="Open Sans"/>
                <w:sz w:val="24"/>
              </w:rPr>
              <w:t>d</w:t>
            </w:r>
            <w:r>
              <w:rPr>
                <w:rFonts w:ascii="Open Sans" w:hAnsi="Open Sans"/>
                <w:sz w:val="24"/>
              </w:rPr>
              <w:t xml:space="preserve">a violência de género e </w:t>
            </w:r>
            <w:r w:rsidR="00EE2C57">
              <w:rPr>
                <w:rFonts w:ascii="Open Sans" w:hAnsi="Open Sans"/>
                <w:sz w:val="24"/>
              </w:rPr>
              <w:t>d</w:t>
            </w:r>
            <w:r>
              <w:rPr>
                <w:rFonts w:ascii="Open Sans" w:hAnsi="Open Sans"/>
                <w:sz w:val="24"/>
              </w:rPr>
              <w:t>o VIH.</w:t>
            </w:r>
          </w:p>
        </w:tc>
        <w:tc>
          <w:tcPr>
            <w:tcW w:w="2215" w:type="dxa"/>
            <w:shd w:val="clear" w:color="auto" w:fill="E1FFFB"/>
          </w:tcPr>
          <w:p w14:paraId="443521C8" w14:textId="3EE489AD" w:rsidR="00812D86" w:rsidRPr="001D2350" w:rsidRDefault="00812D86" w:rsidP="000D5C9C">
            <w:pPr>
              <w:spacing w:before="80" w:after="80"/>
              <w:rPr>
                <w:rFonts w:ascii="Open Sans" w:hAnsi="Open Sans" w:cs="Open Sans"/>
                <w:sz w:val="24"/>
                <w:szCs w:val="24"/>
              </w:rPr>
            </w:pPr>
            <w:r>
              <w:rPr>
                <w:rFonts w:ascii="Open Sans" w:hAnsi="Open Sans"/>
                <w:sz w:val="24"/>
              </w:rPr>
              <w:t>Norma de Saúde 1. Sistemas de saúde (página 298)</w:t>
            </w:r>
          </w:p>
        </w:tc>
      </w:tr>
      <w:tr w:rsidR="00812D86" w:rsidRPr="001D2350" w14:paraId="0AF2B799" w14:textId="77777777" w:rsidTr="001B1A31">
        <w:trPr>
          <w:cantSplit/>
        </w:trPr>
        <w:tc>
          <w:tcPr>
            <w:tcW w:w="535" w:type="dxa"/>
            <w:shd w:val="clear" w:color="auto" w:fill="00B297"/>
          </w:tcPr>
          <w:p w14:paraId="3A167682" w14:textId="3B96E25F" w:rsidR="00812D86" w:rsidRPr="001D2350" w:rsidRDefault="00812D86" w:rsidP="000D5C9C">
            <w:pPr>
              <w:spacing w:before="80" w:after="80"/>
              <w:rPr>
                <w:rFonts w:ascii="Open Sans" w:hAnsi="Open Sans" w:cs="Open Sans"/>
                <w:b/>
                <w:sz w:val="24"/>
                <w:szCs w:val="24"/>
              </w:rPr>
            </w:pPr>
            <w:r>
              <w:rPr>
                <w:rFonts w:ascii="Open Sans" w:hAnsi="Open Sans"/>
                <w:b/>
                <w:sz w:val="24"/>
              </w:rPr>
              <w:t>15</w:t>
            </w:r>
          </w:p>
        </w:tc>
        <w:tc>
          <w:tcPr>
            <w:tcW w:w="7145" w:type="dxa"/>
          </w:tcPr>
          <w:p w14:paraId="0ACD34CB" w14:textId="5DBF48C8" w:rsidR="00812D86" w:rsidRPr="001D2350" w:rsidRDefault="00F24920" w:rsidP="000D5C9C">
            <w:pPr>
              <w:autoSpaceDE w:val="0"/>
              <w:autoSpaceDN w:val="0"/>
              <w:adjustRightInd w:val="0"/>
              <w:spacing w:before="80" w:after="80"/>
              <w:rPr>
                <w:rFonts w:ascii="Open Sans" w:hAnsi="Open Sans" w:cs="Open Sans"/>
                <w:sz w:val="24"/>
                <w:szCs w:val="24"/>
              </w:rPr>
            </w:pPr>
            <w:r>
              <w:rPr>
                <w:rFonts w:ascii="Open Sans" w:hAnsi="Open Sans"/>
                <w:b/>
                <w:sz w:val="24"/>
              </w:rPr>
              <w:t>Verdadeiro:</w:t>
            </w:r>
            <w:r>
              <w:rPr>
                <w:rFonts w:ascii="Open Sans" w:hAnsi="Open Sans"/>
                <w:sz w:val="24"/>
              </w:rPr>
              <w:t xml:space="preserve"> A coordenação com as autoridades locais e outras agências de resposta contribui para assegurar que as necessidades são satisfeitas, que os esforços não são duplicados e que a qualidade da segurança alimentar e as respostas nutricionais são otimizadas.</w:t>
            </w:r>
          </w:p>
        </w:tc>
        <w:tc>
          <w:tcPr>
            <w:tcW w:w="2215" w:type="dxa"/>
          </w:tcPr>
          <w:p w14:paraId="26A7B5B5" w14:textId="3984C158" w:rsidR="00812D86" w:rsidRPr="001D2350" w:rsidRDefault="00812D86" w:rsidP="000D5C9C">
            <w:pPr>
              <w:spacing w:before="80" w:after="80"/>
              <w:rPr>
                <w:rFonts w:ascii="Open Sans" w:hAnsi="Open Sans" w:cs="Open Sans"/>
                <w:sz w:val="24"/>
                <w:szCs w:val="24"/>
              </w:rPr>
            </w:pPr>
            <w:r>
              <w:rPr>
                <w:rFonts w:ascii="Open Sans" w:hAnsi="Open Sans"/>
                <w:sz w:val="24"/>
              </w:rPr>
              <w:t>Conceitos essenciais de abrigo e assentamento (página 244)</w:t>
            </w:r>
          </w:p>
        </w:tc>
      </w:tr>
    </w:tbl>
    <w:p w14:paraId="0F59BC55" w14:textId="238FFABC" w:rsidR="00EB57E8" w:rsidRPr="00E21C5F" w:rsidRDefault="00EB57E8">
      <w:pPr>
        <w:rPr>
          <w:rFonts w:ascii="Open Sans" w:hAnsi="Open Sans" w:cs="Open Sans"/>
        </w:rPr>
      </w:pPr>
    </w:p>
    <w:sectPr w:rsidR="00EB57E8" w:rsidRPr="00E21C5F" w:rsidSect="000D5C9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83028" w14:textId="77777777" w:rsidR="009158A4" w:rsidRDefault="009158A4" w:rsidP="00F93174">
      <w:pPr>
        <w:spacing w:after="0" w:line="240" w:lineRule="auto"/>
      </w:pPr>
      <w:r>
        <w:separator/>
      </w:r>
    </w:p>
  </w:endnote>
  <w:endnote w:type="continuationSeparator" w:id="0">
    <w:p w14:paraId="5DEBB0AE" w14:textId="77777777" w:rsidR="009158A4" w:rsidRDefault="009158A4" w:rsidP="00F9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15B8B" w14:textId="77777777" w:rsidR="009158A4" w:rsidRDefault="009158A4" w:rsidP="00F93174">
      <w:pPr>
        <w:spacing w:after="0" w:line="240" w:lineRule="auto"/>
      </w:pPr>
      <w:r>
        <w:separator/>
      </w:r>
    </w:p>
  </w:footnote>
  <w:footnote w:type="continuationSeparator" w:id="0">
    <w:p w14:paraId="08BC7E1B" w14:textId="77777777" w:rsidR="009158A4" w:rsidRDefault="009158A4" w:rsidP="00F931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1D"/>
    <w:rsid w:val="0002277F"/>
    <w:rsid w:val="0006791D"/>
    <w:rsid w:val="00074088"/>
    <w:rsid w:val="000C1138"/>
    <w:rsid w:val="000D5C9C"/>
    <w:rsid w:val="00163352"/>
    <w:rsid w:val="001B019D"/>
    <w:rsid w:val="001B1A31"/>
    <w:rsid w:val="001D2350"/>
    <w:rsid w:val="001F5908"/>
    <w:rsid w:val="00250F2E"/>
    <w:rsid w:val="00251F1A"/>
    <w:rsid w:val="0027587C"/>
    <w:rsid w:val="00281FA6"/>
    <w:rsid w:val="00370520"/>
    <w:rsid w:val="006604BC"/>
    <w:rsid w:val="00680943"/>
    <w:rsid w:val="00694869"/>
    <w:rsid w:val="006E4EE9"/>
    <w:rsid w:val="0071555B"/>
    <w:rsid w:val="007D01FE"/>
    <w:rsid w:val="00812D86"/>
    <w:rsid w:val="008343E2"/>
    <w:rsid w:val="0084401F"/>
    <w:rsid w:val="008B5E37"/>
    <w:rsid w:val="00904EEA"/>
    <w:rsid w:val="009158A4"/>
    <w:rsid w:val="009D1D91"/>
    <w:rsid w:val="00A46108"/>
    <w:rsid w:val="00A6542F"/>
    <w:rsid w:val="00A667DF"/>
    <w:rsid w:val="00A81B6B"/>
    <w:rsid w:val="00AC0F20"/>
    <w:rsid w:val="00AD3148"/>
    <w:rsid w:val="00B204E1"/>
    <w:rsid w:val="00C2425F"/>
    <w:rsid w:val="00CB5825"/>
    <w:rsid w:val="00CE51E4"/>
    <w:rsid w:val="00CF2D27"/>
    <w:rsid w:val="00D42AFA"/>
    <w:rsid w:val="00D664A1"/>
    <w:rsid w:val="00DA6A7D"/>
    <w:rsid w:val="00E21C5F"/>
    <w:rsid w:val="00E36791"/>
    <w:rsid w:val="00E44EA1"/>
    <w:rsid w:val="00E733C9"/>
    <w:rsid w:val="00E94320"/>
    <w:rsid w:val="00EB57E8"/>
    <w:rsid w:val="00EE2C57"/>
    <w:rsid w:val="00F1264F"/>
    <w:rsid w:val="00F24920"/>
    <w:rsid w:val="00F3452C"/>
    <w:rsid w:val="00F71892"/>
    <w:rsid w:val="00F93174"/>
    <w:rsid w:val="00F93716"/>
    <w:rsid w:val="00F969F2"/>
    <w:rsid w:val="00FC4804"/>
    <w:rsid w:val="00FE47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A7E6"/>
  <w15:chartTrackingRefBased/>
  <w15:docId w15:val="{E56F0A3A-0D9B-41C4-B57B-9856DAB0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26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5E37"/>
    <w:rPr>
      <w:color w:val="004386"/>
      <w:u w:val="single"/>
    </w:rPr>
  </w:style>
  <w:style w:type="character" w:styleId="FollowedHyperlink">
    <w:name w:val="FollowedHyperlink"/>
    <w:basedOn w:val="DefaultParagraphFont"/>
    <w:uiPriority w:val="99"/>
    <w:semiHidden/>
    <w:unhideWhenUsed/>
    <w:rsid w:val="008B5E37"/>
    <w:rPr>
      <w:color w:val="954F72" w:themeColor="followedHyperlink"/>
      <w:u w:val="single"/>
    </w:rPr>
  </w:style>
  <w:style w:type="paragraph" w:styleId="Header">
    <w:name w:val="header"/>
    <w:basedOn w:val="Normal"/>
    <w:link w:val="HeaderChar"/>
    <w:uiPriority w:val="99"/>
    <w:unhideWhenUsed/>
    <w:rsid w:val="00F93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174"/>
  </w:style>
  <w:style w:type="paragraph" w:styleId="Footer">
    <w:name w:val="footer"/>
    <w:basedOn w:val="Normal"/>
    <w:link w:val="FooterChar"/>
    <w:uiPriority w:val="99"/>
    <w:unhideWhenUsed/>
    <w:rsid w:val="00F93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174"/>
  </w:style>
  <w:style w:type="paragraph" w:styleId="BalloonText">
    <w:name w:val="Balloon Text"/>
    <w:basedOn w:val="Normal"/>
    <w:link w:val="BalloonTextChar"/>
    <w:uiPriority w:val="99"/>
    <w:semiHidden/>
    <w:unhideWhenUsed/>
    <w:rsid w:val="001D23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3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buildingabetterRespon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4BE8DA8D-77F0-4526-9E83-4711B5C212DB}">
  <ds:schemaRefs>
    <ds:schemaRef ds:uri="http://schemas.microsoft.com/sharepoint/v3/contenttype/forms"/>
  </ds:schemaRefs>
</ds:datastoreItem>
</file>

<file path=customXml/itemProps2.xml><?xml version="1.0" encoding="utf-8"?>
<ds:datastoreItem xmlns:ds="http://schemas.openxmlformats.org/officeDocument/2006/customXml" ds:itemID="{02331E69-D568-473B-BFB1-4C14CC5E3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B193A9-0380-46EF-94D2-00EE45444060}">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1210</Words>
  <Characters>6681</Characters>
  <Application>Microsoft Office Word</Application>
  <DocSecurity>0</DocSecurity>
  <Lines>180</Lines>
  <Paragraphs>57</Paragraphs>
  <ScaleCrop>false</ScaleCrop>
  <HeadingPairs>
    <vt:vector size="2" baseType="variant">
      <vt:variant>
        <vt:lpstr>Title</vt:lpstr>
      </vt:variant>
      <vt:variant>
        <vt:i4>1</vt:i4>
      </vt:variant>
    </vt:vector>
  </HeadingPairs>
  <TitlesOfParts>
    <vt:vector size="1" baseType="lpstr">
      <vt:lpstr/>
    </vt:vector>
  </TitlesOfParts>
  <Manager>LM</Manager>
  <Company>Sphere</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STP16-Sphere and Coordination Answer Sheet</dc:title>
  <dc:subject>tradução de en-pt</dc:subject>
  <dc:creator>DeVon Solomon;Luísa Merki</dc:creator>
  <cp:keywords>2021107</cp:keywords>
  <dc:description/>
  <cp:lastModifiedBy>Luisa</cp:lastModifiedBy>
  <cp:revision>11</cp:revision>
  <dcterms:created xsi:type="dcterms:W3CDTF">2019-04-23T08:04:00Z</dcterms:created>
  <dcterms:modified xsi:type="dcterms:W3CDTF">2021-07-12T21:35:00Z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6888600</vt:r8>
  </property>
</Properties>
</file>